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CE7742" w:rsidRPr="00CE7742" w:rsidRDefault="00F969C8" w:rsidP="00CE7742">
      <w:pPr>
        <w:pStyle w:val="Default"/>
        <w:rPr>
          <w:rFonts w:asciiTheme="minorHAnsi" w:hAnsiTheme="minorHAnsi" w:cstheme="minorHAnsi"/>
        </w:rPr>
      </w:pPr>
      <w:r w:rsidRPr="00CE7742">
        <w:rPr>
          <w:rFonts w:asciiTheme="minorHAnsi" w:hAnsiTheme="minorHAnsi" w:cstheme="minorHAnsi"/>
        </w:rPr>
        <w:t xml:space="preserve">In addition to the above strongly held beliefs </w:t>
      </w:r>
      <w:r w:rsidR="00CE7742" w:rsidRPr="00CE7742">
        <w:rPr>
          <w:rFonts w:asciiTheme="minorHAnsi" w:hAnsiTheme="minorHAnsi" w:cstheme="minorHAnsi"/>
        </w:rPr>
        <w:t xml:space="preserve">The Illinois Health Care Right of Conscience Act (the “HCRC Act”) (745 ILCS §70/1, </w:t>
      </w:r>
      <w:r w:rsidR="00CE7742" w:rsidRPr="00CE7742">
        <w:rPr>
          <w:rFonts w:asciiTheme="minorHAnsi" w:hAnsiTheme="minorHAnsi" w:cstheme="minorHAnsi"/>
          <w:i/>
          <w:iCs/>
        </w:rPr>
        <w:t>et seq.</w:t>
      </w:r>
      <w:r w:rsidR="00CE7742" w:rsidRPr="00CE7742">
        <w:rPr>
          <w:rFonts w:asciiTheme="minorHAnsi" w:hAnsiTheme="minorHAnsi" w:cstheme="minorHAnsi"/>
        </w:rPr>
        <w:t>) provides additional support for vaccination and testing resistance. The statute provides, in relevant part, as follows:</w:t>
      </w:r>
    </w:p>
    <w:p w:rsidR="00F969C8" w:rsidRDefault="00F969C8" w:rsidP="00CE7742">
      <w:pPr>
        <w:spacing w:after="0" w:line="240" w:lineRule="auto"/>
        <w:rPr>
          <w:rFonts w:eastAsia="Times New Roman" w:cstheme="minorHAnsi"/>
          <w:sz w:val="24"/>
          <w:szCs w:val="24"/>
          <w:shd w:val="clear" w:color="auto" w:fill="FFFFFF"/>
        </w:rPr>
      </w:pPr>
    </w:p>
    <w:p w:rsidR="00F969C8" w:rsidRDefault="00CE7742" w:rsidP="00CE7742">
      <w:pPr>
        <w:spacing w:after="0" w:line="240" w:lineRule="auto"/>
        <w:ind w:left="720"/>
        <w:rPr>
          <w:sz w:val="23"/>
          <w:szCs w:val="23"/>
        </w:rPr>
      </w:pPr>
      <w:r>
        <w:rPr>
          <w:sz w:val="23"/>
          <w:szCs w:val="23"/>
        </w:rPr>
        <w:t>“</w:t>
      </w:r>
      <w:r>
        <w:rPr>
          <w:sz w:val="23"/>
          <w:szCs w:val="23"/>
        </w:rPr>
        <w:t>Discrimination. It shall be unlawful for any person, public or private institution, or public official to discriminate against any person in any manner, including but not limited to, licensing, hiring, promotion, transfer, staff appointment, hospital, managed care entity, or any other privileges, because of such person’s conscientious refusal to receive, obtain, accept, perform, assist, counsel, suggest, recommend, refer or participate in any way in any particular form of health care services contrary to his or her conscience.</w:t>
      </w:r>
      <w:r>
        <w:rPr>
          <w:sz w:val="23"/>
          <w:szCs w:val="23"/>
        </w:rPr>
        <w:t>”</w:t>
      </w:r>
    </w:p>
    <w:p w:rsidR="00CE7742" w:rsidRPr="00CE7742" w:rsidRDefault="00CE7742" w:rsidP="00CE7742">
      <w:pPr>
        <w:spacing w:after="0" w:line="240" w:lineRule="auto"/>
        <w:rPr>
          <w:rFonts w:cstheme="minorHAnsi"/>
          <w:color w:val="333333"/>
          <w:sz w:val="20"/>
          <w:szCs w:val="24"/>
          <w:shd w:val="clear" w:color="auto" w:fill="FAFAFA"/>
        </w:rPr>
      </w:pPr>
    </w:p>
    <w:p w:rsidR="00CE7742" w:rsidRDefault="00CE7742" w:rsidP="00CE7742">
      <w:pPr>
        <w:pStyle w:val="Default"/>
        <w:rPr>
          <w:sz w:val="23"/>
          <w:szCs w:val="23"/>
        </w:rPr>
      </w:pPr>
      <w:r>
        <w:rPr>
          <w:sz w:val="23"/>
          <w:szCs w:val="23"/>
        </w:rPr>
        <w:t xml:space="preserve">745 ILCS §70/5 (emphasis supplied). The Act defines “conscience” as follows: </w:t>
      </w:r>
    </w:p>
    <w:p w:rsidR="00CE7742" w:rsidRDefault="00CE7742" w:rsidP="00CE7742">
      <w:pPr>
        <w:ind w:left="720"/>
      </w:pPr>
      <w:bookmarkStart w:id="0" w:name="_GoBack"/>
      <w:bookmarkEnd w:id="0"/>
      <w:r w:rsidRPr="00CE7742">
        <w:rPr>
          <w:sz w:val="16"/>
          <w:szCs w:val="23"/>
        </w:rPr>
        <w:br/>
      </w:r>
      <w:r>
        <w:rPr>
          <w:sz w:val="23"/>
          <w:szCs w:val="23"/>
        </w:rPr>
        <w:t>“</w:t>
      </w:r>
      <w:proofErr w:type="gramStart"/>
      <w:r>
        <w:rPr>
          <w:sz w:val="23"/>
          <w:szCs w:val="23"/>
        </w:rPr>
        <w:t>a</w:t>
      </w:r>
      <w:proofErr w:type="gramEnd"/>
      <w:r>
        <w:rPr>
          <w:sz w:val="23"/>
          <w:szCs w:val="23"/>
        </w:rPr>
        <w:t xml:space="preserve"> sincerely held set of moral convictions arising from belief in and relation to God, or which, though not so derived, arises from a place in the life of its possessor parallel to that filled by God among adherents to religious faiths.</w:t>
      </w:r>
      <w:r>
        <w:rPr>
          <w:sz w:val="23"/>
          <w:szCs w:val="23"/>
        </w:rPr>
        <w:t>”</w:t>
      </w:r>
    </w:p>
    <w:p w:rsidR="00CE7742" w:rsidRPr="00CE7742" w:rsidRDefault="00CE7742" w:rsidP="00CE7742">
      <w:pPr>
        <w:spacing w:after="0" w:line="240" w:lineRule="auto"/>
        <w:rPr>
          <w:rFonts w:cstheme="minorHAnsi"/>
          <w:color w:val="333333"/>
          <w:sz w:val="10"/>
          <w:szCs w:val="24"/>
          <w:shd w:val="clear" w:color="auto" w:fill="FAFAFA"/>
        </w:rPr>
      </w:pPr>
    </w:p>
    <w:p w:rsidR="00F969C8" w:rsidRPr="00F969C8" w:rsidRDefault="00F969C8" w:rsidP="00F969C8">
      <w:pPr>
        <w:spacing w:after="0" w:line="240" w:lineRule="auto"/>
        <w:rPr>
          <w:rFonts w:eastAsia="Times New Roman" w:cstheme="minorHAnsi"/>
          <w:color w:val="222222"/>
          <w:sz w:val="24"/>
          <w:szCs w:val="24"/>
          <w:shd w:val="clear" w:color="auto" w:fill="FFFFFF"/>
        </w:rPr>
      </w:pPr>
      <w:r w:rsidRPr="00F969C8">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F969C8">
        <w:rPr>
          <w:rFonts w:eastAsia="Times New Roman" w:cstheme="minorHAnsi"/>
          <w:color w:val="222222"/>
          <w:sz w:val="24"/>
          <w:szCs w:val="24"/>
          <w:shd w:val="clear" w:color="auto" w:fill="FFFFFF"/>
        </w:rPr>
        <w:t>to require m</w:t>
      </w:r>
      <w:r>
        <w:rPr>
          <w:rFonts w:eastAsia="Times New Roman" w:cstheme="minorHAnsi"/>
          <w:color w:val="222222"/>
          <w:sz w:val="24"/>
          <w:szCs w:val="24"/>
          <w:shd w:val="clear" w:color="auto" w:fill="FFFFFF"/>
        </w:rPr>
        <w:t>e</w:t>
      </w:r>
      <w:r w:rsidRPr="00F969C8">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or were it to otherwise take adverse action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on religious grounds in clear violation of the Act. Moreover, it would likewise be unlawful for or any of its agents, employees, or representatives </w:t>
      </w:r>
      <w:r w:rsidRPr="00F969C8">
        <w:rPr>
          <w:rFonts w:eastAsia="Times New Roman" w:cstheme="minorHAnsi"/>
          <w:color w:val="222222"/>
          <w:sz w:val="24"/>
          <w:szCs w:val="24"/>
          <w:shd w:val="clear" w:color="auto" w:fill="FFFFFF"/>
        </w:rPr>
        <w:lastRenderedPageBreak/>
        <w:t xml:space="preserve">to retaliate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 xml:space="preserve">my </w:t>
      </w:r>
      <w:r w:rsidRPr="00F969C8">
        <w:rPr>
          <w:rFonts w:eastAsia="Times New Roman" w:cstheme="minorHAnsi"/>
          <w:color w:val="222222"/>
          <w:sz w:val="24"/>
          <w:szCs w:val="24"/>
          <w:shd w:val="clear" w:color="auto" w:fill="FFFFFF"/>
        </w:rPr>
        <w:t xml:space="preserve">assertion of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and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being, as a result, religiously exempt from having to be vaccinated. Needless to say, no employee can do that which the company itself is prohibited from doing in contravention of my 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w:t>
      </w:r>
    </w:p>
    <w:p w:rsidR="00F969C8" w:rsidRPr="00F969C8" w:rsidRDefault="00F969C8" w:rsidP="00F969C8">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t xml:space="preserve">As you know, similar employment protection exists at the federal level. Title VII of the Civil Rights Act of 1964, 42 U.S.C. Section 2000e-(2a), provides protection against religious 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rsidSect="00CE774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4323AF"/>
    <w:rsid w:val="005E6827"/>
    <w:rsid w:val="0081021D"/>
    <w:rsid w:val="00833A71"/>
    <w:rsid w:val="008A692D"/>
    <w:rsid w:val="00913CE7"/>
    <w:rsid w:val="00AA096F"/>
    <w:rsid w:val="00CE7742"/>
    <w:rsid w:val="00D12191"/>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 w:type="paragraph" w:customStyle="1" w:styleId="Default">
    <w:name w:val="Default"/>
    <w:rsid w:val="00CE77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3</cp:revision>
  <dcterms:created xsi:type="dcterms:W3CDTF">2021-09-14T16:11:00Z</dcterms:created>
  <dcterms:modified xsi:type="dcterms:W3CDTF">2021-09-14T16:14:00Z</dcterms:modified>
</cp:coreProperties>
</file>